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widowControl/>
        <w:spacing w:beforeAutospacing="0" w:afterAutospacing="0" w:line="525" w:lineRule="atLeast"/>
        <w:ind w:firstLine="225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2022</w:t>
      </w:r>
      <w:r>
        <w:rPr>
          <w:rFonts w:hint="eastAsia" w:ascii="宋体" w:hAnsi="宋体"/>
          <w:b/>
          <w:sz w:val="44"/>
          <w:szCs w:val="44"/>
          <w:lang w:eastAsia="zh-CN"/>
        </w:rPr>
        <w:t>第六届</w:t>
      </w:r>
      <w:r>
        <w:rPr>
          <w:rFonts w:hint="eastAsia" w:ascii="宋体" w:hAnsi="宋体" w:eastAsia="宋体"/>
          <w:b/>
          <w:sz w:val="44"/>
          <w:szCs w:val="44"/>
          <w:lang w:val="en-US"/>
        </w:rPr>
        <w:t>深海能源</w:t>
      </w:r>
      <w:r>
        <w:rPr>
          <w:rFonts w:ascii="宋体" w:hAnsi="宋体" w:eastAsia="宋体"/>
          <w:b/>
          <w:sz w:val="44"/>
          <w:szCs w:val="44"/>
        </w:rPr>
        <w:t>大会</w:t>
      </w:r>
    </w:p>
    <w:p>
      <w:pPr>
        <w:pStyle w:val="6"/>
        <w:widowControl/>
        <w:spacing w:beforeAutospacing="0" w:afterAutospacing="0" w:line="525" w:lineRule="atLeast"/>
        <w:ind w:firstLine="225"/>
        <w:jc w:val="center"/>
        <w:rPr>
          <w:rFonts w:ascii="宋体" w:hAnsi="宋体" w:cs="宋体"/>
          <w:color w:val="000000"/>
          <w:sz w:val="27"/>
          <w:szCs w:val="27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项目支出</w:t>
      </w:r>
      <w:r>
        <w:rPr>
          <w:rFonts w:hint="eastAsia" w:ascii="宋体" w:hAnsi="宋体" w:cs="宋体"/>
          <w:b/>
          <w:color w:val="000000"/>
          <w:sz w:val="43"/>
          <w:szCs w:val="43"/>
        </w:rPr>
        <w:t>绩效自评报告</w:t>
      </w:r>
      <w:r>
        <w:rPr>
          <w:rFonts w:ascii="Times New Roman" w:hAnsi="Times New Roman"/>
          <w:b/>
          <w:color w:val="000000"/>
          <w:sz w:val="27"/>
          <w:szCs w:val="27"/>
        </w:rPr>
        <w:t> </w:t>
      </w:r>
    </w:p>
    <w:p>
      <w:pPr>
        <w:pStyle w:val="6"/>
        <w:widowControl/>
        <w:spacing w:beforeAutospacing="0" w:afterAutospacing="0" w:line="525" w:lineRule="atLeast"/>
        <w:ind w:firstLine="555"/>
        <w:rPr>
          <w:rFonts w:ascii="宋体" w:hAnsi="宋体" w:cs="宋体"/>
          <w:color w:val="000000"/>
          <w:sz w:val="27"/>
          <w:szCs w:val="27"/>
        </w:rPr>
      </w:pPr>
      <w:r>
        <w:rPr>
          <w:rFonts w:ascii="仿宋_GB2312" w:hAnsi="宋体" w:eastAsia="仿宋_GB2312" w:cs="仿宋_GB2312"/>
          <w:color w:val="000000"/>
          <w:sz w:val="31"/>
          <w:szCs w:val="31"/>
        </w:rPr>
        <w:t> 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一、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概况</w:t>
      </w:r>
      <w:r>
        <w:rPr>
          <w:rFonts w:ascii="仿宋" w:hAnsi="仿宋" w:eastAsia="仿宋" w:cs="黑体"/>
          <w:color w:val="000000"/>
          <w:sz w:val="32"/>
          <w:szCs w:val="32"/>
        </w:rPr>
        <w:t xml:space="preserve"> </w:t>
      </w:r>
      <w:r>
        <w:rPr>
          <w:rFonts w:eastAsia="仿宋" w:cs="Calibri"/>
          <w:color w:val="000000"/>
          <w:sz w:val="32"/>
          <w:szCs w:val="32"/>
        </w:rPr>
        <w:t>   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仿宋_GB2312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</w:rPr>
        <w:t>基本情况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由海南省人民政府、中国船舶工业行业协会、中国海洋工程咨询协会共同主办，海口市人民政府、海南省贸促会、中辰远见(北京)科技发展有限公司共同承办的第六届深海能源大会在海南海口召开，共同探讨全球深海能源发展趋势，建言深海重大装备工程高质量发展，探索深海能源开发活动对绿色能源的需求等主题。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深海能源大会自2015年举办以来，会议规模和影响力逐年提升，吸引了政府部门、学术界和企业界的积极参与，是深海能源领域开展学术交流、探讨行业发展、提高我国深海能源领域国际影响力的重要平台</w:t>
      </w:r>
      <w:r>
        <w:rPr>
          <w:rFonts w:hint="default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是海南省市两级政府精心打造和重点培育的会展项目，是建设海洋强省发展深海科技的有力抓手，更是推动海南自由贸易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/>
        </w:rPr>
        <w:t>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建设的合作平台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绩效目标和绩效指标设定情况</w:t>
      </w:r>
      <w:r>
        <w:rPr>
          <w:rFonts w:eastAsia="仿宋" w:cs="Calibri"/>
          <w:b/>
          <w:bCs/>
          <w:color w:val="000000"/>
          <w:sz w:val="32"/>
          <w:szCs w:val="32"/>
        </w:rPr>
        <w:t>  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总体目标：深海能源大会聚焦深海能源，促进国际合作，服务国家战略，致力于为业界提供一个技术交流的共享平台、一个凝聚智慧的的人才纽带、一个成果创新的转化桥梁。大会有利于推进海洋能源相关领域的前沿研究和技术创新，推动南海开发及后勤保障基地建设，同时希望为海南省由海洋大省向海洋强省转变、助推海口“一带一路”节点城市的建设、海南自贸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/>
        </w:rPr>
        <w:t>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发展和建设深海科技城起到引领和推动作用。 </w:t>
      </w:r>
    </w:p>
    <w:p>
      <w:pPr>
        <w:spacing w:before="120" w:beforeLines="50" w:line="360" w:lineRule="auto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大会目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标情况：本届大会以“加强科技创新，开发深海能源”为主题，设有主论坛和5个分论坛，议题涵盖海洋能源开发与海洋生态环境保护、海上新能源装备发展、深海装备数字化和智能装备、海上风电、青年论坛等。主论坛上，中国科学院院士汪品先、高德利，中国工程院院士林忠钦，中国21世纪议程管理中心副主任陈其针、南海海洋资源利用国家重点实验室(海南大学)副主任沈义俊，中海油原总地质师、同济大学特聘教授朱伟林，天然气水合物勘查开发国家工程研究中心主任、广州海洋地质调查局首席科学家吴能友等专家、学者围绕南海深部十年探索、南海深水钻采技术与装备创新发展、全球深水油气发展趋势、海底采矿机会在哪里等主题作主旨报告。</w:t>
      </w:r>
    </w:p>
    <w:p>
      <w:pPr>
        <w:spacing w:before="120" w:beforeLines="50" w:line="360" w:lineRule="auto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</w:p>
    <w:p>
      <w:pPr>
        <w:widowControl/>
        <w:spacing w:line="520" w:lineRule="exact"/>
        <w:ind w:firstLine="640"/>
        <w:rPr>
          <w:rFonts w:ascii="仿宋" w:hAnsi="仿宋" w:eastAsia="仿宋" w:cs="宋体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二、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筹备及管理情况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（一）政府支持情况分析</w:t>
      </w:r>
    </w:p>
    <w:p>
      <w:pPr>
        <w:pStyle w:val="9"/>
        <w:spacing w:line="52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大会作为海南省重点支持的会展项目之一，在筹备及举办的过程中，得到了海南省贸促会、海南省商务厅、海口市人民政府、海口市商务局，在资金补贴</w:t>
      </w:r>
      <w:r>
        <w:rPr>
          <w:rFonts w:hint="default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会务执行</w:t>
      </w:r>
      <w:r>
        <w:rPr>
          <w:rFonts w:hint="eastAsia" w:ascii="仿宋" w:hAnsi="仿宋" w:eastAsia="仿宋" w:cs="仿宋"/>
          <w:sz w:val="32"/>
          <w:szCs w:val="32"/>
        </w:rPr>
        <w:t>等多方面的指导和支持。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（二）大会筹备及管理工作情况分析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大会符合《海南省支持会展业发展资金管理办法》要求，活动举办为市场化动作，筹资渠道符合规定，筹资结构合理，在市场化运作成熟后，依靠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注册费</w:t>
      </w:r>
      <w:r>
        <w:rPr>
          <w:rFonts w:hint="default" w:ascii="仿宋" w:hAnsi="仿宋" w:eastAsia="仿宋" w:cs="仿宋"/>
          <w:kern w:val="0"/>
          <w:sz w:val="32"/>
          <w:szCs w:val="32"/>
          <w:lang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展位租金保障活动开支，后续资金得到保障。通过合理的标准依据对资金进行测算，各项指标合理完整。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对各项工作进行可行性调研，邀请相关领域的主管部门领导、两院院士、国内外科研所专家、国际机构代表等多位专家学者进行论题发表、论证，以保证大会方案的可行性和前期工作的完整性。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对大会整体活动时间做清晰界定，严格落实各单位责任，并开展大会工作人员的工作培训，活动会务中心、前台服务中心、场所应急管理、食品安全管理等现场管理均有明确分工。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三、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  <w:lang w:eastAsia="zh-CN"/>
        </w:rPr>
        <w:t>项目实施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情况</w:t>
      </w:r>
    </w:p>
    <w:p>
      <w:pPr>
        <w:tabs>
          <w:tab w:val="left" w:pos="4200"/>
        </w:tabs>
        <w:spacing w:line="520" w:lineRule="exact"/>
        <w:ind w:firstLine="569" w:firstLineChars="177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default"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val="en-US"/>
        </w:rPr>
        <w:t>一</w:t>
      </w:r>
      <w:r>
        <w:rPr>
          <w:rFonts w:hint="default" w:ascii="仿宋" w:hAnsi="仿宋" w:eastAsia="仿宋"/>
          <w:b/>
          <w:bCs/>
          <w:sz w:val="32"/>
          <w:szCs w:val="32"/>
          <w:lang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</w:rPr>
        <w:t>优势资源鼎力支持，社会影响传播深远</w:t>
      </w:r>
    </w:p>
    <w:p>
      <w:pPr>
        <w:tabs>
          <w:tab w:val="left" w:pos="4200"/>
        </w:tabs>
        <w:spacing w:line="520" w:lineRule="exact"/>
        <w:ind w:firstLine="566" w:firstLineChars="177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大会通过会前与行业学会、协会合作征集论文及大会议题，并借助新媒体进行广泛传播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会中邀请中央、省、市、境内外及行业媒体记者入驻现场报道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会后全媒体渠道宣传大会成果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大会吸引海内外近千名油气业企业高管、业内专家学者、政府高层领导参会，包括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国家主管部委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海南海口、</w:t>
      </w:r>
      <w:r>
        <w:rPr>
          <w:rFonts w:hint="eastAsia" w:ascii="仿宋" w:hAnsi="仿宋" w:eastAsia="仿宋"/>
          <w:sz w:val="32"/>
          <w:szCs w:val="32"/>
          <w:lang w:val="en-US"/>
        </w:rPr>
        <w:t>央企</w:t>
      </w:r>
      <w:r>
        <w:rPr>
          <w:rFonts w:hint="eastAsia" w:ascii="仿宋" w:hAnsi="仿宋" w:eastAsia="仿宋"/>
          <w:sz w:val="32"/>
          <w:szCs w:val="32"/>
        </w:rPr>
        <w:t>、中国工程院、中国科学院、中国船舶工业行业协会等支持单位领导。大会直接社会影响力辐射人数超30万人。</w:t>
      </w:r>
    </w:p>
    <w:p>
      <w:pPr>
        <w:tabs>
          <w:tab w:val="left" w:pos="4200"/>
        </w:tabs>
        <w:spacing w:line="520" w:lineRule="exact"/>
        <w:ind w:firstLine="569" w:firstLineChars="177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default"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val="en-US"/>
        </w:rPr>
        <w:t>二</w:t>
      </w:r>
      <w:r>
        <w:rPr>
          <w:rFonts w:hint="default" w:ascii="仿宋" w:hAnsi="仿宋" w:eastAsia="仿宋"/>
          <w:b/>
          <w:bCs/>
          <w:sz w:val="32"/>
          <w:szCs w:val="32"/>
          <w:lang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</w:rPr>
        <w:t>主旨服务国家战略，议题承接业界热点</w:t>
      </w:r>
    </w:p>
    <w:p>
      <w:pPr>
        <w:tabs>
          <w:tab w:val="left" w:pos="4200"/>
        </w:tabs>
        <w:spacing w:line="520" w:lineRule="exact"/>
        <w:ind w:firstLine="566" w:firstLineChars="177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大会始终紧扣国家“实施海洋强国”、“一带一路”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倡议</w:t>
      </w:r>
      <w:r>
        <w:rPr>
          <w:rFonts w:hint="eastAsia" w:ascii="仿宋" w:hAnsi="仿宋" w:eastAsia="仿宋"/>
          <w:sz w:val="32"/>
          <w:szCs w:val="32"/>
        </w:rPr>
        <w:t>和建设海南海洋强省思想，议题从首届大会的“海洋工程技术与装备、海水淡化、水下生产系统、深海油气田开发、海洋工程电网解决方案”主题过渡延伸至20</w:t>
      </w:r>
      <w:r>
        <w:rPr>
          <w:rFonts w:hint="default" w:ascii="仿宋" w:hAnsi="仿宋" w:eastAsia="仿宋"/>
          <w:sz w:val="32"/>
          <w:szCs w:val="32"/>
        </w:rPr>
        <w:t>22</w:t>
      </w:r>
      <w:r>
        <w:rPr>
          <w:rFonts w:hint="eastAsia" w:ascii="仿宋" w:hAnsi="仿宋" w:eastAsia="仿宋"/>
          <w:sz w:val="32"/>
          <w:szCs w:val="32"/>
        </w:rPr>
        <w:t>年大会的“加强科技创新，开发深海能源”主题。紧跟时代脉搏及行业热议话题，得到了与会嘉宾一致赞同及好评。</w:t>
      </w:r>
    </w:p>
    <w:p>
      <w:pPr>
        <w:tabs>
          <w:tab w:val="left" w:pos="4200"/>
        </w:tabs>
        <w:spacing w:line="520" w:lineRule="exact"/>
        <w:ind w:firstLine="569" w:firstLineChars="177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default"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val="en-US"/>
        </w:rPr>
        <w:t>三</w:t>
      </w:r>
      <w:r>
        <w:rPr>
          <w:rFonts w:hint="default" w:ascii="仿宋" w:hAnsi="仿宋" w:eastAsia="仿宋"/>
          <w:b/>
          <w:bCs/>
          <w:sz w:val="32"/>
          <w:szCs w:val="32"/>
          <w:lang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</w:rPr>
        <w:t>与会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/>
          <w:b/>
          <w:bCs/>
          <w:sz w:val="32"/>
          <w:szCs w:val="32"/>
        </w:rPr>
        <w:t>构成企研为主，政府事业机构为辅</w:t>
      </w:r>
    </w:p>
    <w:p>
      <w:pPr>
        <w:tabs>
          <w:tab w:val="left" w:pos="4200"/>
        </w:tabs>
        <w:spacing w:line="520" w:lineRule="exact"/>
        <w:ind w:firstLine="566" w:firstLineChars="177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大会行业企业人员为参会主体，行业相关科研机构人员为其次。60%来自于大型能源、油气企业，如中海油、中石油、中石化、中船</w:t>
      </w:r>
      <w:r>
        <w:rPr>
          <w:rFonts w:hint="eastAsia" w:ascii="仿宋" w:hAnsi="仿宋" w:eastAsia="仿宋"/>
          <w:sz w:val="32"/>
          <w:szCs w:val="32"/>
          <w:lang w:val="en-US"/>
        </w:rPr>
        <w:t>集团</w:t>
      </w:r>
      <w:r>
        <w:rPr>
          <w:rFonts w:hint="eastAsia" w:ascii="仿宋" w:hAnsi="仿宋" w:eastAsia="仿宋"/>
          <w:sz w:val="32"/>
          <w:szCs w:val="32"/>
        </w:rPr>
        <w:t>、中集集团、福陆中国、中远海运、中远船务、外高桥等；27%来自于学术科研单位，如上海交通大学、中国石油大学（北京）、中国石油大学（华东）、西南石油大学、东北石油大学、清华大学、海南大学、华南理工大学、武汉理工大学、大连理工大学、大连海事大学、集美大学、厦门大学、海南热带海洋学院等；13%来自于政府机关、协会，如</w:t>
      </w:r>
      <w:r>
        <w:rPr>
          <w:rFonts w:hint="eastAsia" w:ascii="仿宋" w:hAnsi="仿宋" w:eastAsia="仿宋"/>
          <w:sz w:val="32"/>
          <w:szCs w:val="32"/>
          <w:lang w:val="en-US"/>
        </w:rPr>
        <w:t>自然</w:t>
      </w:r>
      <w:r>
        <w:rPr>
          <w:rFonts w:hint="eastAsia" w:ascii="仿宋" w:hAnsi="仿宋" w:eastAsia="仿宋"/>
          <w:sz w:val="32"/>
          <w:szCs w:val="32"/>
        </w:rPr>
        <w:t>资源部、国家能源局、中国地质调查局、中国工程院、中国船舶工业行业协会、中国船级社、省发改委、省工信厅、省</w:t>
      </w:r>
      <w:r>
        <w:rPr>
          <w:rFonts w:hint="eastAsia" w:ascii="仿宋" w:hAnsi="仿宋" w:eastAsia="仿宋"/>
          <w:sz w:val="32"/>
          <w:szCs w:val="32"/>
          <w:lang w:val="en-US"/>
        </w:rPr>
        <w:t>资规</w:t>
      </w:r>
      <w:r>
        <w:rPr>
          <w:rFonts w:hint="eastAsia" w:ascii="仿宋" w:hAnsi="仿宋" w:eastAsia="仿宋"/>
          <w:sz w:val="32"/>
          <w:szCs w:val="32"/>
        </w:rPr>
        <w:t>厅、省生态环保厅、中国科学技术协会等。</w:t>
      </w:r>
    </w:p>
    <w:p>
      <w:pPr>
        <w:tabs>
          <w:tab w:val="left" w:pos="4200"/>
        </w:tabs>
        <w:spacing w:line="520" w:lineRule="exact"/>
        <w:ind w:firstLine="569" w:firstLineChars="177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default" w:ascii="仿宋" w:hAnsi="仿宋" w:eastAsia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/>
          <w:b/>
          <w:bCs/>
          <w:sz w:val="32"/>
          <w:szCs w:val="32"/>
          <w:lang w:val="en-US"/>
        </w:rPr>
        <w:t>四</w:t>
      </w:r>
      <w:r>
        <w:rPr>
          <w:rFonts w:hint="default" w:ascii="仿宋" w:hAnsi="仿宋" w:eastAsia="仿宋"/>
          <w:b/>
          <w:bCs/>
          <w:sz w:val="32"/>
          <w:szCs w:val="32"/>
          <w:lang/>
        </w:rPr>
        <w:t>）</w:t>
      </w:r>
      <w:r>
        <w:rPr>
          <w:rFonts w:hint="eastAsia" w:ascii="仿宋" w:hAnsi="仿宋" w:eastAsia="仿宋"/>
          <w:b/>
          <w:bCs/>
          <w:sz w:val="32"/>
          <w:szCs w:val="32"/>
        </w:rPr>
        <w:t>广泛吸纳学术资源，丰硕产出大会成果</w:t>
      </w:r>
    </w:p>
    <w:p>
      <w:pPr>
        <w:tabs>
          <w:tab w:val="left" w:pos="4200"/>
        </w:tabs>
        <w:spacing w:line="520" w:lineRule="exact"/>
        <w:ind w:firstLine="566" w:firstLineChars="177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大会共组织征集论文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235篇</w:t>
      </w:r>
      <w:r>
        <w:rPr>
          <w:rFonts w:hint="eastAsia" w:ascii="仿宋" w:hAnsi="仿宋" w:eastAsia="仿宋"/>
          <w:sz w:val="32"/>
          <w:szCs w:val="32"/>
        </w:rPr>
        <w:t>，实际采纳论文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128篇</w:t>
      </w:r>
      <w:r>
        <w:rPr>
          <w:rFonts w:hint="eastAsia" w:ascii="仿宋" w:hAnsi="仿宋" w:eastAsia="仿宋"/>
          <w:sz w:val="32"/>
          <w:szCs w:val="32"/>
        </w:rPr>
        <w:t>。根据征集到的论文设置了69个发言议题，会后所有采纳的论文均在专业学术期刊《中国造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船</w:t>
      </w:r>
      <w:r>
        <w:rPr>
          <w:rFonts w:hint="eastAsia" w:ascii="仿宋" w:hAnsi="仿宋" w:eastAsia="仿宋"/>
          <w:sz w:val="32"/>
          <w:szCs w:val="32"/>
        </w:rPr>
        <w:t>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专刊的形式公开发表。会议中的论文还陆续被部分在线知识文库收录，如百度学术。</w:t>
      </w:r>
      <w:r>
        <w:rPr>
          <w:rFonts w:hint="default" w:ascii="仿宋" w:hAnsi="仿宋" w:eastAsia="仿宋"/>
          <w:sz w:val="32"/>
          <w:szCs w:val="32"/>
        </w:rPr>
        <w:t xml:space="preserve">   </w:t>
      </w:r>
    </w:p>
    <w:p>
      <w:pPr>
        <w:numPr>
          <w:ilvl w:val="0"/>
          <w:numId w:val="1"/>
        </w:numPr>
        <w:tabs>
          <w:tab w:val="left" w:pos="4200"/>
        </w:tabs>
        <w:spacing w:line="520" w:lineRule="exact"/>
        <w:ind w:firstLine="569" w:firstLineChars="177"/>
        <w:rPr>
          <w:rFonts w:hint="eastAsia" w:ascii="仿宋" w:hAnsi="仿宋" w:eastAsia="仿宋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</w:pPr>
      <w:r>
        <w:rPr>
          <w:rFonts w:hint="eastAsia" w:ascii="仿宋" w:hAnsi="仿宋" w:eastAsia="仿宋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  <w:t>成功举办第二届</w:t>
      </w:r>
      <w:r>
        <w:rPr>
          <w:rFonts w:hint="eastAsia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  <w:t>“</w:t>
      </w:r>
      <w:r>
        <w:rPr>
          <w:rFonts w:hint="eastAsia" w:ascii="仿宋" w:hAnsi="仿宋" w:eastAsia="仿宋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  <w:t>深海之光</w:t>
      </w:r>
      <w:r>
        <w:rPr>
          <w:rFonts w:hint="eastAsia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  <w:t>”</w:t>
      </w:r>
      <w:r>
        <w:rPr>
          <w:rFonts w:hint="eastAsia" w:ascii="仿宋" w:hAnsi="仿宋" w:eastAsia="仿宋" w:cs="Times New Roman"/>
          <w:b/>
          <w:bCs/>
          <w:smallCaps w:val="0"/>
          <w:color w:val="auto"/>
          <w:kern w:val="2"/>
          <w:sz w:val="32"/>
          <w:szCs w:val="32"/>
          <w:lang w:val="en-US" w:bidi="ar-SA"/>
        </w:rPr>
        <w:t>国际摄影展</w:t>
      </w:r>
    </w:p>
    <w:p>
      <w:pPr>
        <w:numPr>
          <w:numId w:val="0"/>
        </w:numPr>
        <w:tabs>
          <w:tab w:val="left" w:pos="4200"/>
        </w:tabs>
        <w:spacing w:line="520" w:lineRule="exact"/>
        <w:ind w:firstLine="640" w:firstLineChars="200"/>
        <w:rPr>
          <w:rFonts w:hint="eastAsia" w:ascii="仿宋" w:hAnsi="仿宋" w:eastAsia="仿宋" w:cs="Times New Roman"/>
          <w:b w:val="0"/>
          <w:smallCap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smallCaps w:val="0"/>
          <w:color w:val="auto"/>
          <w:kern w:val="2"/>
          <w:sz w:val="32"/>
          <w:szCs w:val="32"/>
          <w:lang w:val="en-US" w:eastAsia="zh-CN" w:bidi="ar-SA"/>
        </w:rPr>
        <w:t>由自然资源部摄影家协会、中国海洋工程咨询协会海洋文化分会共同主办，中辰远见(北京)科技发展有限公司承办的第二届“深海之光”国际摄影展也同步举行。此次国际摄影展共评出一、二、三等奖6名，优秀奖50幅，入选奖50幅，共计106幅(组)。摄影作品展现了海上风景、海洋石油工业发展、航海生活等内容，折射出我国深海能源开发与利用的发展历程，赢得了参会嘉宾一致好评。</w:t>
      </w:r>
    </w:p>
    <w:p>
      <w:pPr>
        <w:pStyle w:val="9"/>
        <w:numPr>
          <w:numId w:val="0"/>
        </w:numPr>
        <w:spacing w:line="520" w:lineRule="exact"/>
        <w:ind w:left="420" w:leftChars="0"/>
        <w:rPr>
          <w:rFonts w:ascii="仿宋" w:hAnsi="仿宋" w:eastAsia="仿宋"/>
          <w:b/>
          <w:bCs w:val="0"/>
          <w:sz w:val="32"/>
          <w:szCs w:val="32"/>
        </w:rPr>
      </w:pPr>
      <w:r>
        <w:rPr>
          <w:rFonts w:hint="default" w:ascii="仿宋" w:hAnsi="仿宋" w:eastAsia="仿宋"/>
          <w:b/>
          <w:bCs w:val="0"/>
          <w:sz w:val="32"/>
          <w:szCs w:val="32"/>
        </w:rPr>
        <w:t>（</w:t>
      </w:r>
      <w:r>
        <w:rPr>
          <w:rFonts w:hint="eastAsia" w:ascii="仿宋" w:hAnsi="仿宋" w:eastAsia="仿宋"/>
          <w:b/>
          <w:bCs w:val="0"/>
          <w:sz w:val="32"/>
          <w:szCs w:val="32"/>
          <w:lang w:val="en-US"/>
        </w:rPr>
        <w:t>六</w:t>
      </w:r>
      <w:r>
        <w:rPr>
          <w:rFonts w:hint="default" w:ascii="仿宋" w:hAnsi="仿宋" w:eastAsia="仿宋"/>
          <w:b/>
          <w:bCs w:val="0"/>
          <w:sz w:val="32"/>
          <w:szCs w:val="32"/>
          <w:lang/>
        </w:rPr>
        <w:t>）</w:t>
      </w:r>
      <w:r>
        <w:rPr>
          <w:rFonts w:hint="eastAsia" w:ascii="仿宋" w:hAnsi="仿宋" w:eastAsia="仿宋"/>
          <w:b/>
          <w:bCs w:val="0"/>
          <w:sz w:val="32"/>
          <w:szCs w:val="32"/>
        </w:rPr>
        <w:t>在大会期间同步举办</w:t>
      </w:r>
      <w:r>
        <w:rPr>
          <w:rFonts w:hint="eastAsia" w:ascii="仿宋" w:hAnsi="仿宋" w:eastAsia="仿宋"/>
          <w:b/>
          <w:bCs w:val="0"/>
          <w:sz w:val="32"/>
          <w:szCs w:val="32"/>
          <w:lang w:val="en-US"/>
        </w:rPr>
        <w:t>展览展示活动</w:t>
      </w:r>
      <w:r>
        <w:rPr>
          <w:rFonts w:hint="default" w:ascii="仿宋" w:hAnsi="仿宋" w:eastAsia="仿宋"/>
          <w:b/>
          <w:bCs w:val="0"/>
          <w:sz w:val="32"/>
          <w:szCs w:val="32"/>
          <w:lang/>
        </w:rPr>
        <w:t>，</w:t>
      </w:r>
    </w:p>
    <w:p>
      <w:pPr>
        <w:spacing w:before="120" w:beforeLines="50" w:line="360" w:lineRule="auto"/>
        <w:ind w:firstLine="640" w:firstLineChars="200"/>
        <w:rPr>
          <w:rFonts w:hint="eastAsia" w:ascii="仿宋" w:hAnsi="仿宋" w:eastAsia="仿宋" w:cs="Times New Roman"/>
          <w:b w:val="0"/>
          <w:smallCap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smallCaps w:val="0"/>
          <w:color w:val="auto"/>
          <w:kern w:val="2"/>
          <w:sz w:val="32"/>
          <w:szCs w:val="32"/>
          <w:lang w:val="en-US" w:eastAsia="zh-CN" w:bidi="ar-SA"/>
        </w:rPr>
        <w:t>本次大会共有11家单位在大会现场设置展览,分别为上海交通大学三亚崖州湾深海科技研究院、西安向阳航天材料股份有限公司、苏州雷格姆海洋石油设备科技有限公司、维特力(深圳)流体工程有限公司、天津普友机电设备股份有限公司、南京迪威尔高端制造股份有限公司、合肥倍豪海洋装备技术有限公司、中环天仪(天津)气象仪器有限公司、上海奋为船舶技术有限公司、中国石油集团东方地球物理物探有限公司和派格石油。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黑体"/>
          <w:b/>
          <w:bCs/>
          <w:color w:val="000000"/>
          <w:sz w:val="32"/>
          <w:szCs w:val="32"/>
          <w:highlight w:val="cyan"/>
        </w:rPr>
      </w:pPr>
      <w:r>
        <w:rPr>
          <w:rFonts w:hint="eastAsia" w:ascii="仿宋" w:hAnsi="仿宋" w:eastAsia="仿宋" w:cs="黑体"/>
          <w:b/>
          <w:bCs/>
          <w:color w:val="000000"/>
          <w:sz w:val="32"/>
          <w:szCs w:val="32"/>
        </w:rPr>
        <w:t>四、</w:t>
      </w:r>
      <w:r>
        <w:rPr>
          <w:rFonts w:hint="eastAsia" w:ascii="仿宋" w:hAnsi="仿宋" w:eastAsia="仿宋" w:cs="黑体"/>
          <w:b/>
          <w:bCs/>
          <w:color w:val="000000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黑体"/>
          <w:b/>
          <w:bCs/>
          <w:color w:val="000000"/>
          <w:sz w:val="32"/>
          <w:szCs w:val="32"/>
        </w:rPr>
        <w:t>绩效情况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（一）大会绩效目标完成情况分析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 大会的经济性分析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（1）大会成本（预算）控制情况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大会严格按照预算指标使用资金，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严格依据相关规章制度支出，不存在违规支出、延迟支出等现象。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2. 大会的效率性分析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（1）大会的实施进度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大会严格按照策划进行筹备执行，实施进度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符合策划预期要求。</w:t>
      </w:r>
    </w:p>
    <w:p>
      <w:pPr>
        <w:widowControl/>
        <w:numPr>
          <w:ilvl w:val="0"/>
          <w:numId w:val="2"/>
        </w:numPr>
        <w:spacing w:line="52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大会完成质量。</w:t>
      </w:r>
    </w:p>
    <w:p>
      <w:pPr>
        <w:widowControl/>
        <w:numPr>
          <w:numId w:val="0"/>
        </w:numPr>
        <w:spacing w:line="52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大会严格按照策划进行筹备执行，实施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质量</w:t>
      </w:r>
      <w:r>
        <w:rPr>
          <w:rFonts w:hint="eastAsia" w:ascii="仿宋" w:hAnsi="仿宋" w:eastAsia="仿宋" w:cs="仿宋"/>
          <w:sz w:val="32"/>
          <w:szCs w:val="32"/>
        </w:rPr>
        <w:t>符合策划预期要求。</w:t>
      </w:r>
    </w:p>
    <w:p>
      <w:pPr>
        <w:widowControl/>
        <w:numPr>
          <w:numId w:val="0"/>
        </w:numPr>
        <w:spacing w:line="52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3. 大会的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效益性分析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（1）大会预期目标完成程度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大会共设五个绩效目标，全部以标准优完成。具体情况如下：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产出指标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会议面积：目标面积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2300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平方米。实际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2300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平方米。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完成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既定目标。绩效指标完成情况为优；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产出指标-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高端嘉宾数量：目标人数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人。实际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邀请嘉宾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15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人。达到高端嘉宾指标要求。绩效指标完成情况为优；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产出指标-大会论坛场次：目标场次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个主论坛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个分论坛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。实际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个主论坛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/>
        </w:rPr>
        <w:t>个分论坛</w:t>
      </w:r>
      <w:r>
        <w:rPr>
          <w:rFonts w:hint="default" w:ascii="仿宋" w:hAnsi="仿宋" w:eastAsia="仿宋" w:cs="仿宋"/>
          <w:color w:val="000000"/>
          <w:sz w:val="32"/>
          <w:szCs w:val="32"/>
          <w:lang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完成既定目标。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绩效指标完成情况为优；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产出指标-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展览面积及参会参展人数；目标展览面积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5000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平方米，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参会人数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1000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人次。实际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展览面积</w:t>
      </w:r>
      <w:r>
        <w:rPr>
          <w:rFonts w:hint="eastAsia" w:ascii="仿宋" w:hAnsi="仿宋" w:eastAsia="仿宋" w:cs="仿宋"/>
          <w:kern w:val="0"/>
          <w:sz w:val="32"/>
          <w:szCs w:val="32"/>
          <w:lang w:val="en-US"/>
        </w:rPr>
        <w:t>接近</w:t>
      </w:r>
      <w:r>
        <w:rPr>
          <w:rFonts w:hint="default" w:ascii="仿宋" w:hAnsi="仿宋" w:eastAsia="仿宋" w:cs="仿宋"/>
          <w:kern w:val="0"/>
          <w:sz w:val="32"/>
          <w:szCs w:val="32"/>
          <w:lang/>
        </w:rPr>
        <w:t>5000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平方米，观展人数超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1000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人次。完成既定目标。绩效指标完成情况为优；    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效益指标-媒体宣传：目标宣传媒体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30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家。实际本次大会超</w:t>
      </w:r>
      <w:r>
        <w:rPr>
          <w:rFonts w:hint="default" w:ascii="仿宋" w:hAnsi="仿宋" w:eastAsia="仿宋" w:cs="仿宋"/>
          <w:kern w:val="0"/>
          <w:sz w:val="32"/>
          <w:szCs w:val="32"/>
          <w:lang w:eastAsia="zh-CN"/>
        </w:rPr>
        <w:t>5</w:t>
      </w:r>
      <w:r>
        <w:rPr>
          <w:rFonts w:hint="default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多家媒体采访报道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累计发布大会相关新闻报道</w:t>
      </w:r>
      <w:r>
        <w:rPr>
          <w:rFonts w:hint="default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00余篇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完成既定目标。绩效指标完成情况为优；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（2）大会举办对经济和社会的影响</w:t>
      </w:r>
    </w:p>
    <w:p>
      <w:pPr>
        <w:spacing w:line="52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本届深海能源大会是在三年疫情结束后的首场深海能源领域盛会，极大地带动了海洋能源产业发展、海洋强国建设科技创新等方面的交流与融合。</w:t>
      </w:r>
    </w:p>
    <w:p>
      <w:pPr>
        <w:spacing w:line="52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次大会，与会专家，特别是院士、行业企业和科研院所的专家、企业家、学者，分别从深海探索、深海重大装备工程发展与挑战、深水钻采技术与装备创新、海洋碳中和、深水油气发展、海洋天然气水合物开采、油气资产数字化转型、海底采矿机会、深海绿色能源开发等领域的成果、技术创新、挑战及合作开发方面的交流与探讨。</w:t>
      </w:r>
    </w:p>
    <w:p>
      <w:pPr>
        <w:spacing w:line="52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大会还专门设计了海洋能源开发与海洋生态环境保护、海上新能源装备发展、深海装备数字化和智能装备、海上风电等平行技术分论坛。充分交流了深海新能源开发、装备、数字化及生态保护等方面的话题。</w:t>
      </w:r>
    </w:p>
    <w:p>
      <w:pPr>
        <w:spacing w:line="52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本次大会吸引了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行业专业</w:t>
      </w:r>
      <w:r>
        <w:rPr>
          <w:rFonts w:hint="eastAsia" w:ascii="仿宋" w:hAnsi="仿宋" w:eastAsia="仿宋" w:cs="仿宋"/>
          <w:sz w:val="32"/>
          <w:szCs w:val="32"/>
        </w:rPr>
        <w:t>媒体现场参会，会前、会中、会后总计超过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sz w:val="32"/>
          <w:szCs w:val="32"/>
        </w:rPr>
        <w:t>家媒体对大会进行高达2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00多</w:t>
      </w:r>
      <w:r>
        <w:rPr>
          <w:rFonts w:hint="eastAsia" w:ascii="仿宋" w:hAnsi="仿宋" w:eastAsia="仿宋" w:cs="仿宋"/>
          <w:sz w:val="32"/>
          <w:szCs w:val="32"/>
        </w:rPr>
        <w:t>篇的新闻详尽报道，影响力广泛。海口市人民政府等政府官网对大会的报道引领舆论方向；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中国日报、工人日报、经济日报、</w:t>
      </w:r>
      <w:r>
        <w:rPr>
          <w:rFonts w:hint="eastAsia" w:ascii="仿宋" w:hAnsi="仿宋" w:eastAsia="仿宋" w:cs="仿宋"/>
          <w:sz w:val="32"/>
          <w:szCs w:val="32"/>
        </w:rPr>
        <w:t>海口日报、海口网等众多岛内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外</w:t>
      </w:r>
      <w:r>
        <w:rPr>
          <w:rFonts w:hint="eastAsia" w:ascii="仿宋" w:hAnsi="仿宋" w:eastAsia="仿宋" w:cs="仿宋"/>
          <w:sz w:val="32"/>
          <w:szCs w:val="32"/>
        </w:rPr>
        <w:t>主流媒体分别对大会进行深入解读报道；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i自然全媒体、国际船舶网、海洋能源网</w:t>
      </w:r>
      <w:r>
        <w:rPr>
          <w:rFonts w:hint="eastAsia" w:ascii="仿宋" w:hAnsi="仿宋" w:eastAsia="仿宋" w:cs="仿宋"/>
          <w:sz w:val="32"/>
          <w:szCs w:val="32"/>
        </w:rPr>
        <w:t>等国内权威专业媒体聚焦大会热点，剖析行业现状；中新网、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北青网、南海网、人民网、</w:t>
      </w:r>
      <w:r>
        <w:rPr>
          <w:rFonts w:hint="eastAsia" w:ascii="仿宋" w:hAnsi="仿宋" w:eastAsia="仿宋" w:cs="仿宋"/>
          <w:sz w:val="32"/>
          <w:szCs w:val="32"/>
        </w:rPr>
        <w:t>新浪网等主流门户网站争相报道；立方石油、石油link、Seawaymaritime、震旦能源、海洋油气网、观沧海、一点石油、海洋能源与工程咨询平台、石油圈等新媒体移动端宣传推广；《中国造船》、《海洋工程装备与技术》等专业期刊精准覆盖；EDM邮件数十万行业人群覆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本届大会媒体报道较往届更具深度和广度，宣传目标更加精准化和广泛化，大会整体宣传达到一个全新的高度。  </w:t>
      </w:r>
      <w:r>
        <w:rPr>
          <w:rFonts w:hint="eastAsia"/>
          <w:kern w:val="0"/>
        </w:rPr>
        <w:t xml:space="preserve">      </w:t>
      </w:r>
    </w:p>
    <w:p>
      <w:pPr>
        <w:widowControl/>
        <w:spacing w:line="52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4. 项目的可持续性分析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在会展方面，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/>
        </w:rPr>
        <w:t>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届的深海能源大会，正一年一个台阶，持续打造深海能源领域最权威、最具品质和最具规模的会议和展览。大会组织方将继续努力，全力创新，全力配合海南省开展多层面、多角度、多渠道的招商工作，为海南省的招商引资工作汇聚人才、整合资源、招揽项目，进一步提升海南省在国内外的知名度和影响力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（二）项目绩效目标未完成原因分析</w:t>
      </w:r>
    </w:p>
    <w:p>
      <w:pPr>
        <w:widowControl/>
        <w:spacing w:line="520" w:lineRule="exac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预算绩效目标都已完成。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宋体"/>
          <w:b/>
          <w:bCs/>
          <w:color w:val="000000"/>
          <w:sz w:val="32"/>
          <w:szCs w:val="32"/>
          <w:highlight w:val="cyan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五、综合评价情况及评价结论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该项目从可持续发展角度而言，</w:t>
      </w:r>
      <w:r>
        <w:rPr>
          <w:rFonts w:hint="eastAsia" w:ascii="仿宋" w:hAnsi="仿宋" w:eastAsia="仿宋" w:cs="仿宋_GB2312"/>
          <w:sz w:val="32"/>
          <w:szCs w:val="32"/>
        </w:rPr>
        <w:t>围绕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深海能源</w:t>
      </w:r>
      <w:r>
        <w:rPr>
          <w:rFonts w:hint="eastAsia" w:ascii="仿宋" w:hAnsi="仿宋" w:eastAsia="仿宋" w:cs="仿宋_GB2312"/>
          <w:sz w:val="32"/>
          <w:szCs w:val="32"/>
        </w:rPr>
        <w:t>发展和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科技创新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聚焦自贸港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深海科技</w:t>
      </w:r>
      <w:r>
        <w:rPr>
          <w:rFonts w:hint="eastAsia" w:ascii="仿宋" w:hAnsi="仿宋" w:eastAsia="仿宋" w:cs="仿宋_GB2312"/>
          <w:sz w:val="32"/>
          <w:szCs w:val="32"/>
        </w:rPr>
        <w:t>、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深海油气及工程装备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等，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整体发挥的社会效益明显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。本项目</w:t>
      </w:r>
      <w:r>
        <w:rPr>
          <w:rFonts w:hint="eastAsia" w:ascii="仿宋" w:hAnsi="仿宋" w:eastAsia="仿宋" w:cs="仿宋"/>
          <w:kern w:val="0"/>
          <w:sz w:val="32"/>
          <w:szCs w:val="32"/>
        </w:rPr>
        <w:t>绩效评价指标得分9</w:t>
      </w:r>
      <w:r>
        <w:rPr>
          <w:rFonts w:hint="default"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分，自评结论为优。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宋体"/>
          <w:b/>
          <w:bCs/>
          <w:color w:val="000000"/>
          <w:sz w:val="32"/>
          <w:szCs w:val="32"/>
          <w:highlight w:val="cyan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六、主要经验及存在的问题</w:t>
      </w:r>
    </w:p>
    <w:p>
      <w:pPr>
        <w:pStyle w:val="9"/>
        <w:numPr>
          <w:ilvl w:val="1"/>
          <w:numId w:val="3"/>
        </w:numPr>
        <w:spacing w:line="520" w:lineRule="exact"/>
        <w:ind w:left="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对省市相关机构没有严格落实定期汇报，导致部分相关领导对项目情况和进度掌握不清、不足。特别是</w:t>
      </w:r>
      <w:r>
        <w:rPr>
          <w:rFonts w:hint="eastAsia" w:ascii="仿宋" w:hAnsi="仿宋" w:eastAsia="仿宋"/>
          <w:sz w:val="32"/>
          <w:szCs w:val="32"/>
          <w:lang w:val="en-US"/>
        </w:rPr>
        <w:t>大会跟博鳌论坛时间冲突</w:t>
      </w:r>
      <w:r>
        <w:rPr>
          <w:rFonts w:hint="default" w:ascii="仿宋" w:hAnsi="仿宋" w:eastAsia="仿宋"/>
          <w:sz w:val="32"/>
          <w:szCs w:val="32"/>
          <w:lang/>
        </w:rPr>
        <w:t>，</w:t>
      </w:r>
      <w:r>
        <w:rPr>
          <w:rFonts w:hint="eastAsia" w:ascii="仿宋" w:hAnsi="仿宋" w:eastAsia="仿宋"/>
          <w:sz w:val="32"/>
          <w:szCs w:val="32"/>
        </w:rPr>
        <w:t>导致部分省市领导没能现场参会；</w:t>
      </w:r>
    </w:p>
    <w:p>
      <w:pPr>
        <w:pStyle w:val="9"/>
        <w:numPr>
          <w:ilvl w:val="1"/>
          <w:numId w:val="3"/>
        </w:numPr>
        <w:spacing w:line="520" w:lineRule="exact"/>
        <w:ind w:left="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过于侧重</w:t>
      </w:r>
      <w:r>
        <w:rPr>
          <w:rFonts w:hint="eastAsia" w:ascii="仿宋" w:hAnsi="仿宋" w:eastAsia="仿宋"/>
          <w:sz w:val="32"/>
          <w:szCs w:val="32"/>
          <w:lang w:val="en-US"/>
        </w:rPr>
        <w:t>大会</w:t>
      </w:r>
      <w:r>
        <w:rPr>
          <w:rFonts w:hint="eastAsia" w:ascii="仿宋" w:hAnsi="仿宋" w:eastAsia="仿宋"/>
          <w:sz w:val="32"/>
          <w:szCs w:val="32"/>
        </w:rPr>
        <w:t>内容方面的策划设计，</w:t>
      </w:r>
      <w:r>
        <w:rPr>
          <w:rFonts w:hint="eastAsia" w:ascii="仿宋" w:hAnsi="仿宋" w:eastAsia="仿宋"/>
          <w:sz w:val="32"/>
          <w:szCs w:val="32"/>
          <w:lang w:val="en-US"/>
        </w:rPr>
        <w:t>展览</w:t>
      </w:r>
      <w:r>
        <w:rPr>
          <w:rFonts w:hint="eastAsia" w:ascii="仿宋" w:hAnsi="仿宋" w:eastAsia="仿宋"/>
          <w:sz w:val="32"/>
          <w:szCs w:val="32"/>
        </w:rPr>
        <w:t>没有固定招商招展团队，导致项目市场化运作程度距离预期有一定差距；</w:t>
      </w:r>
    </w:p>
    <w:p>
      <w:pPr>
        <w:pStyle w:val="9"/>
        <w:numPr>
          <w:ilvl w:val="1"/>
          <w:numId w:val="3"/>
        </w:numPr>
        <w:spacing w:line="520" w:lineRule="exact"/>
        <w:ind w:left="0" w:firstLine="42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由于适逢</w:t>
      </w:r>
      <w:r>
        <w:rPr>
          <w:rFonts w:hint="eastAsia" w:ascii="仿宋" w:hAnsi="仿宋" w:eastAsia="仿宋"/>
          <w:sz w:val="32"/>
          <w:szCs w:val="32"/>
          <w:lang w:val="en-US"/>
        </w:rPr>
        <w:t>疫情刚刚结束和时间与博鳌论坛同期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/>
        </w:rPr>
        <w:t>业内活动较多</w:t>
      </w:r>
      <w:r>
        <w:rPr>
          <w:rFonts w:hint="default" w:ascii="仿宋" w:hAnsi="仿宋" w:eastAsia="仿宋"/>
          <w:sz w:val="32"/>
          <w:szCs w:val="32"/>
          <w:lang/>
        </w:rPr>
        <w:t>，</w:t>
      </w:r>
      <w:r>
        <w:rPr>
          <w:rFonts w:hint="eastAsia" w:ascii="仿宋" w:hAnsi="仿宋" w:eastAsia="仿宋"/>
          <w:sz w:val="32"/>
          <w:szCs w:val="32"/>
          <w:lang w:val="en-US"/>
        </w:rPr>
        <w:t>国内外嘉宾的邀请工作</w:t>
      </w:r>
      <w:r>
        <w:rPr>
          <w:rFonts w:hint="eastAsia" w:ascii="仿宋" w:hAnsi="仿宋" w:eastAsia="仿宋"/>
          <w:sz w:val="32"/>
          <w:szCs w:val="32"/>
        </w:rPr>
        <w:t>受到一定影响</w:t>
      </w:r>
      <w:r>
        <w:rPr>
          <w:rFonts w:hint="default" w:ascii="仿宋" w:hAnsi="仿宋" w:eastAsia="仿宋"/>
          <w:sz w:val="32"/>
          <w:szCs w:val="32"/>
        </w:rPr>
        <w:t>。</w:t>
      </w:r>
    </w:p>
    <w:p>
      <w:pPr>
        <w:pStyle w:val="6"/>
        <w:widowControl/>
        <w:spacing w:beforeAutospacing="0" w:afterAutospacing="0" w:line="520" w:lineRule="exact"/>
        <w:ind w:firstLine="645"/>
        <w:rPr>
          <w:rFonts w:ascii="仿宋" w:hAnsi="仿宋" w:eastAsia="仿宋" w:cs="宋体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七、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其他需说明的问题</w:t>
      </w:r>
    </w:p>
    <w:p>
      <w:pPr>
        <w:widowControl/>
        <w:spacing w:line="520" w:lineRule="exact"/>
        <w:ind w:firstLine="64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无</w:t>
      </w:r>
    </w:p>
    <w:p>
      <w:pPr>
        <w:widowControl/>
        <w:spacing w:line="578" w:lineRule="atLeast"/>
        <w:jc w:val="left"/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92329276">
    <w:nsid w:val="E8003B3C"/>
    <w:multiLevelType w:val="singleLevel"/>
    <w:tmpl w:val="E8003B3C"/>
    <w:lvl w:ilvl="0" w:tentative="1">
      <w:start w:val="2"/>
      <w:numFmt w:val="decimal"/>
      <w:suff w:val="nothing"/>
      <w:lvlText w:val="（%1）"/>
      <w:lvlJc w:val="left"/>
    </w:lvl>
  </w:abstractNum>
  <w:abstractNum w:abstractNumId="4255577443">
    <w:nsid w:val="FDA6F563"/>
    <w:multiLevelType w:val="singleLevel"/>
    <w:tmpl w:val="FDA6F563"/>
    <w:lvl w:ilvl="0" w:tentative="1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32390554">
    <w:nsid w:val="01EE3D9A"/>
    <w:multiLevelType w:val="multilevel"/>
    <w:tmpl w:val="01EE3D9A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chineseCountingThousand"/>
      <w:lvlText w:val="(%2)"/>
      <w:lvlJc w:val="left"/>
      <w:pPr>
        <w:ind w:left="860" w:hanging="44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255577443"/>
  </w:num>
  <w:num w:numId="2">
    <w:abstractNumId w:val="3892329276"/>
  </w:num>
  <w:num w:numId="3">
    <w:abstractNumId w:val="323905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I2MDk2MDJkOTg0ZTFjYWQ3MWM1YzYzMGY2YzM0YWYifQ=="/>
  </w:docVars>
  <w:rsids>
    <w:rsidRoot w:val="FFE52477"/>
    <w:rsid w:val="001800DD"/>
    <w:rsid w:val="00211634"/>
    <w:rsid w:val="002E7EEC"/>
    <w:rsid w:val="00351A22"/>
    <w:rsid w:val="00357D9A"/>
    <w:rsid w:val="00381382"/>
    <w:rsid w:val="00533494"/>
    <w:rsid w:val="006D2A1E"/>
    <w:rsid w:val="009071AF"/>
    <w:rsid w:val="036B76A3"/>
    <w:rsid w:val="040A0F26"/>
    <w:rsid w:val="05F6695C"/>
    <w:rsid w:val="0B3624BF"/>
    <w:rsid w:val="102E5FAA"/>
    <w:rsid w:val="131D659F"/>
    <w:rsid w:val="13912BD6"/>
    <w:rsid w:val="14FF9317"/>
    <w:rsid w:val="1743234C"/>
    <w:rsid w:val="1C7134B8"/>
    <w:rsid w:val="1EA20462"/>
    <w:rsid w:val="217952E8"/>
    <w:rsid w:val="21BA76AF"/>
    <w:rsid w:val="21BD63C9"/>
    <w:rsid w:val="25400910"/>
    <w:rsid w:val="259013B8"/>
    <w:rsid w:val="2630355E"/>
    <w:rsid w:val="269B7AAF"/>
    <w:rsid w:val="2AD046BE"/>
    <w:rsid w:val="2F784A11"/>
    <w:rsid w:val="31202C67"/>
    <w:rsid w:val="32F24996"/>
    <w:rsid w:val="35B46497"/>
    <w:rsid w:val="35F3C78B"/>
    <w:rsid w:val="373A0EA2"/>
    <w:rsid w:val="3A487FB1"/>
    <w:rsid w:val="3AF565A4"/>
    <w:rsid w:val="3B7FC59E"/>
    <w:rsid w:val="3E0D7095"/>
    <w:rsid w:val="3E4103DE"/>
    <w:rsid w:val="3F6227C5"/>
    <w:rsid w:val="3FF04570"/>
    <w:rsid w:val="3FFB58C9"/>
    <w:rsid w:val="43ED5584"/>
    <w:rsid w:val="44906C6C"/>
    <w:rsid w:val="47FF50DE"/>
    <w:rsid w:val="485E9F89"/>
    <w:rsid w:val="48D82463"/>
    <w:rsid w:val="49DE2239"/>
    <w:rsid w:val="4A915F90"/>
    <w:rsid w:val="4C8F3363"/>
    <w:rsid w:val="4DDA4D41"/>
    <w:rsid w:val="50414974"/>
    <w:rsid w:val="56BA5480"/>
    <w:rsid w:val="56FE29F9"/>
    <w:rsid w:val="57161D46"/>
    <w:rsid w:val="59451CAF"/>
    <w:rsid w:val="5E7F1EF8"/>
    <w:rsid w:val="5FDC574B"/>
    <w:rsid w:val="5FFD2037"/>
    <w:rsid w:val="605E5896"/>
    <w:rsid w:val="65442AE4"/>
    <w:rsid w:val="66A55805"/>
    <w:rsid w:val="6D4C4C2C"/>
    <w:rsid w:val="6EEE242A"/>
    <w:rsid w:val="73F7816C"/>
    <w:rsid w:val="74AD4B8B"/>
    <w:rsid w:val="78972AD3"/>
    <w:rsid w:val="790C40FB"/>
    <w:rsid w:val="7B7FA11E"/>
    <w:rsid w:val="7BDF36AF"/>
    <w:rsid w:val="7E973490"/>
    <w:rsid w:val="7EF850D0"/>
    <w:rsid w:val="7F776987"/>
    <w:rsid w:val="7FCF55E5"/>
    <w:rsid w:val="7FF7BA7B"/>
    <w:rsid w:val="B79FC1E9"/>
    <w:rsid w:val="BB6D6324"/>
    <w:rsid w:val="BDEEBA09"/>
    <w:rsid w:val="C7AF9CA7"/>
    <w:rsid w:val="D7EFCB2B"/>
    <w:rsid w:val="D8F7C021"/>
    <w:rsid w:val="D95F0D34"/>
    <w:rsid w:val="DB7F946D"/>
    <w:rsid w:val="DDDF32CE"/>
    <w:rsid w:val="DFEA3FE2"/>
    <w:rsid w:val="DFF957F2"/>
    <w:rsid w:val="DFFDA309"/>
    <w:rsid w:val="EAFF5EEE"/>
    <w:rsid w:val="EFBD9CAC"/>
    <w:rsid w:val="EFF4F80C"/>
    <w:rsid w:val="EFFCEDE6"/>
    <w:rsid w:val="F5C5BACF"/>
    <w:rsid w:val="F717E6C1"/>
    <w:rsid w:val="F77FD617"/>
    <w:rsid w:val="FB5BB9F6"/>
    <w:rsid w:val="FBF64BA6"/>
    <w:rsid w:val="FEFBB7C9"/>
    <w:rsid w:val="FF7FEF2E"/>
    <w:rsid w:val="FFE52477"/>
    <w:rsid w:val="FFFEA29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仿宋" w:hAnsi="仿宋" w:eastAsia="仿宋"/>
      <w:b/>
      <w:smallCaps w:val="0"/>
      <w:color w:val="000000"/>
      <w:sz w:val="32"/>
      <w:szCs w:val="2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toc 2"/>
    <w:basedOn w:val="1"/>
    <w:next w:val="1"/>
    <w:qFormat/>
    <w:uiPriority w:val="39"/>
    <w:pPr>
      <w:jc w:val="left"/>
    </w:pPr>
    <w:rPr>
      <w:rFonts w:ascii="Calibri" w:hAnsi="Calibri"/>
      <w:smallCaps/>
      <w:sz w:val="22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4378</Words>
  <Characters>4527</Characters>
  <Lines>32</Lines>
  <Paragraphs>9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2022-06-28T02:11:00Z</dcterms:created>
  <dc:creator>uos</dc:creator>
  <cp:lastModifiedBy>未定义</cp:lastModifiedBy>
  <dcterms:modified xsi:type="dcterms:W3CDTF">2023-07-21T01:26:42Z</dcterms:modified>
  <dc:title>2022第六届深海能源大会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0BE215BC3AF74F3AAB7AC18ACF56A896_13</vt:lpwstr>
  </property>
</Properties>
</file>